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Социальное  партнерство  в системе управления ДОО</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«Социальное партнерство  в системе управления ДОО»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«Социальное  партнерство  в системе управления ДОО».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«Социальное  партнерство  в системе управления ДОО»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579.62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творческой инициативы работников, повышения мотивации работников к качественному труду</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68.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«Социальное  партнерство  в системе управления ДОО»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Модуль "Инновационные подходы к организации дошкольного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 и руководство образовательной деятельностью в ДОО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командообразования в дошкольной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УК-6,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w:t>
            </w:r>
          </w:p>
          <w:p>
            <w:pPr>
              <w:jc w:val="left"/>
              <w:spacing w:after="0" w:line="240" w:lineRule="auto"/>
              <w:rPr>
                <w:sz w:val="24"/>
                <w:szCs w:val="24"/>
              </w:rPr>
            </w:pPr>
            <w:r>
              <w:rPr>
                <w:rFonts w:ascii="Times New Roman" w:hAnsi="Times New Roman" w:cs="Times New Roman"/>
                <w:color w:val="#000000"/>
                <w:sz w:val="24"/>
                <w:szCs w:val="24"/>
              </w:rPr>
              <w:t> основы социального</w:t>
            </w:r>
          </w:p>
          <w:p>
            <w:pPr>
              <w:jc w:val="left"/>
              <w:spacing w:after="0" w:line="240" w:lineRule="auto"/>
              <w:rPr>
                <w:sz w:val="24"/>
                <w:szCs w:val="24"/>
              </w:rPr>
            </w:pPr>
            <w:r>
              <w:rPr>
                <w:rFonts w:ascii="Times New Roman" w:hAnsi="Times New Roman" w:cs="Times New Roman"/>
                <w:color w:val="#000000"/>
                <w:sz w:val="24"/>
                <w:szCs w:val="24"/>
              </w:rPr>
              <w:t> партнерства в</w:t>
            </w:r>
          </w:p>
          <w:p>
            <w:pPr>
              <w:jc w:val="left"/>
              <w:spacing w:after="0" w:line="240" w:lineRule="auto"/>
              <w:rPr>
                <w:sz w:val="24"/>
                <w:szCs w:val="24"/>
              </w:rPr>
            </w:pPr>
            <w:r>
              <w:rPr>
                <w:rFonts w:ascii="Times New Roman" w:hAnsi="Times New Roman" w:cs="Times New Roman"/>
                <w:color w:val="#000000"/>
                <w:sz w:val="24"/>
                <w:szCs w:val="24"/>
              </w:rPr>
              <w:t>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уровни социального партнёрства.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партнерство ДОУ и семьи в рамках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социального</w:t>
            </w:r>
          </w:p>
          <w:p>
            <w:pPr>
              <w:jc w:val="left"/>
              <w:spacing w:after="0" w:line="240" w:lineRule="auto"/>
              <w:rPr>
                <w:sz w:val="24"/>
                <w:szCs w:val="24"/>
              </w:rPr>
            </w:pPr>
            <w:r>
              <w:rPr>
                <w:rFonts w:ascii="Times New Roman" w:hAnsi="Times New Roman" w:cs="Times New Roman"/>
                <w:color w:val="#000000"/>
                <w:sz w:val="24"/>
                <w:szCs w:val="24"/>
              </w:rPr>
              <w:t> партнёрства в образовании: современные подходы и</w:t>
            </w:r>
          </w:p>
          <w:p>
            <w:pPr>
              <w:jc w:val="left"/>
              <w:spacing w:after="0" w:line="240" w:lineRule="auto"/>
              <w:rPr>
                <w:sz w:val="24"/>
                <w:szCs w:val="24"/>
              </w:rPr>
            </w:pPr>
            <w:r>
              <w:rPr>
                <w:rFonts w:ascii="Times New Roman" w:hAnsi="Times New Roman" w:cs="Times New Roman"/>
                <w:color w:val="#000000"/>
                <w:sz w:val="24"/>
                <w:szCs w:val="24"/>
              </w:rPr>
              <w:t> практика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особенности социального партнерства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социального</w:t>
            </w:r>
          </w:p>
          <w:p>
            <w:pPr>
              <w:jc w:val="left"/>
              <w:spacing w:after="0" w:line="240" w:lineRule="auto"/>
              <w:rPr>
                <w:sz w:val="24"/>
                <w:szCs w:val="24"/>
              </w:rPr>
            </w:pPr>
            <w:r>
              <w:rPr>
                <w:rFonts w:ascii="Times New Roman" w:hAnsi="Times New Roman" w:cs="Times New Roman"/>
                <w:color w:val="#000000"/>
                <w:sz w:val="24"/>
                <w:szCs w:val="24"/>
              </w:rPr>
              <w:t> партнерства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w:t>
            </w:r>
          </w:p>
          <w:p>
            <w:pPr>
              <w:jc w:val="left"/>
              <w:spacing w:after="0" w:line="240" w:lineRule="auto"/>
              <w:rPr>
                <w:sz w:val="24"/>
                <w:szCs w:val="24"/>
              </w:rPr>
            </w:pPr>
            <w:r>
              <w:rPr>
                <w:rFonts w:ascii="Times New Roman" w:hAnsi="Times New Roman" w:cs="Times New Roman"/>
                <w:color w:val="#000000"/>
                <w:sz w:val="24"/>
                <w:szCs w:val="24"/>
              </w:rPr>
              <w:t> взаимодействия</w:t>
            </w:r>
          </w:p>
          <w:p>
            <w:pPr>
              <w:jc w:val="left"/>
              <w:spacing w:after="0" w:line="240" w:lineRule="auto"/>
              <w:rPr>
                <w:sz w:val="24"/>
                <w:szCs w:val="24"/>
              </w:rPr>
            </w:pPr>
            <w:r>
              <w:rPr>
                <w:rFonts w:ascii="Times New Roman" w:hAnsi="Times New Roman" w:cs="Times New Roman"/>
                <w:color w:val="#000000"/>
                <w:sz w:val="24"/>
                <w:szCs w:val="24"/>
              </w:rPr>
              <w:t> дошкольной</w:t>
            </w:r>
          </w:p>
          <w:p>
            <w:pPr>
              <w:jc w:val="left"/>
              <w:spacing w:after="0" w:line="240" w:lineRule="auto"/>
              <w:rPr>
                <w:sz w:val="24"/>
                <w:szCs w:val="24"/>
              </w:rPr>
            </w:pPr>
            <w:r>
              <w:rPr>
                <w:rFonts w:ascii="Times New Roman" w:hAnsi="Times New Roman" w:cs="Times New Roman"/>
                <w:color w:val="#000000"/>
                <w:sz w:val="24"/>
                <w:szCs w:val="24"/>
              </w:rPr>
              <w:t>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организации с</w:t>
            </w:r>
          </w:p>
          <w:p>
            <w:pPr>
              <w:jc w:val="left"/>
              <w:spacing w:after="0" w:line="240" w:lineRule="auto"/>
              <w:rPr>
                <w:sz w:val="24"/>
                <w:szCs w:val="24"/>
              </w:rPr>
            </w:pPr>
            <w:r>
              <w:rPr>
                <w:rFonts w:ascii="Times New Roman" w:hAnsi="Times New Roman" w:cs="Times New Roman"/>
                <w:color w:val="#000000"/>
                <w:sz w:val="24"/>
                <w:szCs w:val="24"/>
              </w:rPr>
              <w:t> культурным</w:t>
            </w:r>
          </w:p>
          <w:p>
            <w:pPr>
              <w:jc w:val="left"/>
              <w:spacing w:after="0" w:line="240" w:lineRule="auto"/>
              <w:rPr>
                <w:sz w:val="24"/>
                <w:szCs w:val="24"/>
              </w:rPr>
            </w:pPr>
            <w:r>
              <w:rPr>
                <w:rFonts w:ascii="Times New Roman" w:hAnsi="Times New Roman" w:cs="Times New Roman"/>
                <w:color w:val="#000000"/>
                <w:sz w:val="24"/>
                <w:szCs w:val="24"/>
              </w:rPr>
              <w:t> пространством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w:t>
            </w:r>
          </w:p>
          <w:p>
            <w:pPr>
              <w:jc w:val="left"/>
              <w:spacing w:after="0" w:line="240" w:lineRule="auto"/>
              <w:rPr>
                <w:sz w:val="24"/>
                <w:szCs w:val="24"/>
              </w:rPr>
            </w:pPr>
            <w:r>
              <w:rPr>
                <w:rFonts w:ascii="Times New Roman" w:hAnsi="Times New Roman" w:cs="Times New Roman"/>
                <w:color w:val="#000000"/>
                <w:sz w:val="24"/>
                <w:szCs w:val="24"/>
              </w:rPr>
              <w:t> взаимодействия</w:t>
            </w:r>
          </w:p>
          <w:p>
            <w:pPr>
              <w:jc w:val="left"/>
              <w:spacing w:after="0" w:line="240" w:lineRule="auto"/>
              <w:rPr>
                <w:sz w:val="24"/>
                <w:szCs w:val="24"/>
              </w:rPr>
            </w:pPr>
            <w:r>
              <w:rPr>
                <w:rFonts w:ascii="Times New Roman" w:hAnsi="Times New Roman" w:cs="Times New Roman"/>
                <w:color w:val="#000000"/>
                <w:sz w:val="24"/>
                <w:szCs w:val="24"/>
              </w:rPr>
              <w:t> дошкольной</w:t>
            </w:r>
          </w:p>
          <w:p>
            <w:pPr>
              <w:jc w:val="left"/>
              <w:spacing w:after="0" w:line="240" w:lineRule="auto"/>
              <w:rPr>
                <w:sz w:val="24"/>
                <w:szCs w:val="24"/>
              </w:rPr>
            </w:pPr>
            <w:r>
              <w:rPr>
                <w:rFonts w:ascii="Times New Roman" w:hAnsi="Times New Roman" w:cs="Times New Roman"/>
                <w:color w:val="#000000"/>
                <w:sz w:val="24"/>
                <w:szCs w:val="24"/>
              </w:rPr>
              <w:t>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организации со</w:t>
            </w:r>
          </w:p>
          <w:p>
            <w:pPr>
              <w:jc w:val="left"/>
              <w:spacing w:after="0" w:line="240" w:lineRule="auto"/>
              <w:rPr>
                <w:sz w:val="24"/>
                <w:szCs w:val="24"/>
              </w:rPr>
            </w:pPr>
            <w:r>
              <w:rPr>
                <w:rFonts w:ascii="Times New Roman" w:hAnsi="Times New Roman" w:cs="Times New Roman"/>
                <w:color w:val="#000000"/>
                <w:sz w:val="24"/>
                <w:szCs w:val="24"/>
              </w:rPr>
              <w:t> школой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проектирования</w:t>
            </w:r>
          </w:p>
          <w:p>
            <w:pPr>
              <w:jc w:val="left"/>
              <w:spacing w:after="0" w:line="240" w:lineRule="auto"/>
              <w:rPr>
                <w:sz w:val="24"/>
                <w:szCs w:val="24"/>
              </w:rPr>
            </w:pPr>
            <w:r>
              <w:rPr>
                <w:rFonts w:ascii="Times New Roman" w:hAnsi="Times New Roman" w:cs="Times New Roman"/>
                <w:color w:val="#000000"/>
                <w:sz w:val="24"/>
                <w:szCs w:val="24"/>
              </w:rPr>
              <w:t> взаимодействия</w:t>
            </w:r>
          </w:p>
          <w:p>
            <w:pPr>
              <w:jc w:val="left"/>
              <w:spacing w:after="0" w:line="240" w:lineRule="auto"/>
              <w:rPr>
                <w:sz w:val="24"/>
                <w:szCs w:val="24"/>
              </w:rPr>
            </w:pPr>
            <w:r>
              <w:rPr>
                <w:rFonts w:ascii="Times New Roman" w:hAnsi="Times New Roman" w:cs="Times New Roman"/>
                <w:color w:val="#000000"/>
                <w:sz w:val="24"/>
                <w:szCs w:val="24"/>
              </w:rPr>
              <w:t> дошкольной</w:t>
            </w:r>
          </w:p>
          <w:p>
            <w:pPr>
              <w:jc w:val="left"/>
              <w:spacing w:after="0" w:line="240" w:lineRule="auto"/>
              <w:rPr>
                <w:sz w:val="24"/>
                <w:szCs w:val="24"/>
              </w:rPr>
            </w:pPr>
            <w:r>
              <w:rPr>
                <w:rFonts w:ascii="Times New Roman" w:hAnsi="Times New Roman" w:cs="Times New Roman"/>
                <w:color w:val="#000000"/>
                <w:sz w:val="24"/>
                <w:szCs w:val="24"/>
              </w:rPr>
              <w:t>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организации с</w:t>
            </w:r>
          </w:p>
          <w:p>
            <w:pPr>
              <w:jc w:val="left"/>
              <w:spacing w:after="0" w:line="240" w:lineRule="auto"/>
              <w:rPr>
                <w:sz w:val="24"/>
                <w:szCs w:val="24"/>
              </w:rPr>
            </w:pPr>
            <w:r>
              <w:rPr>
                <w:rFonts w:ascii="Times New Roman" w:hAnsi="Times New Roman" w:cs="Times New Roman"/>
                <w:color w:val="#000000"/>
                <w:sz w:val="24"/>
                <w:szCs w:val="24"/>
              </w:rPr>
              <w:t>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233.8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w:t>
            </w:r>
          </w:p>
          <w:p>
            <w:pPr>
              <w:jc w:val="center"/>
              <w:spacing w:after="0" w:line="240" w:lineRule="auto"/>
              <w:rPr>
                <w:sz w:val="24"/>
                <w:szCs w:val="24"/>
              </w:rPr>
            </w:pPr>
            <w:r>
              <w:rPr>
                <w:rFonts w:ascii="Times New Roman" w:hAnsi="Times New Roman" w:cs="Times New Roman"/>
                <w:b/>
                <w:color w:val="#000000"/>
                <w:sz w:val="24"/>
                <w:szCs w:val="24"/>
              </w:rPr>
              <w:t> основы социального</w:t>
            </w:r>
          </w:p>
          <w:p>
            <w:pPr>
              <w:jc w:val="center"/>
              <w:spacing w:after="0" w:line="240" w:lineRule="auto"/>
              <w:rPr>
                <w:sz w:val="24"/>
                <w:szCs w:val="24"/>
              </w:rPr>
            </w:pPr>
            <w:r>
              <w:rPr>
                <w:rFonts w:ascii="Times New Roman" w:hAnsi="Times New Roman" w:cs="Times New Roman"/>
                <w:b/>
                <w:color w:val="#000000"/>
                <w:sz w:val="24"/>
                <w:szCs w:val="24"/>
              </w:rPr>
              <w:t> партнерства в</w:t>
            </w:r>
          </w:p>
          <w:p>
            <w:pPr>
              <w:jc w:val="center"/>
              <w:spacing w:after="0" w:line="240" w:lineRule="auto"/>
              <w:rPr>
                <w:sz w:val="24"/>
                <w:szCs w:val="24"/>
              </w:rPr>
            </w:pPr>
            <w:r>
              <w:rPr>
                <w:rFonts w:ascii="Times New Roman" w:hAnsi="Times New Roman" w:cs="Times New Roman"/>
                <w:b/>
                <w:color w:val="#000000"/>
                <w:sz w:val="24"/>
                <w:szCs w:val="24"/>
              </w:rPr>
              <w:t> образовании</w:t>
            </w:r>
          </w:p>
        </w:tc>
      </w:tr>
      <w:tr>
        <w:trPr>
          <w:trHeight w:hRule="exact" w:val="1099.12"/>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социального партнёрства. Объект и предмет социального</w:t>
            </w:r>
          </w:p>
          <w:p>
            <w:pPr>
              <w:jc w:val="both"/>
              <w:spacing w:after="0" w:line="240" w:lineRule="auto"/>
              <w:rPr>
                <w:sz w:val="24"/>
                <w:szCs w:val="24"/>
              </w:rPr>
            </w:pPr>
            <w:r>
              <w:rPr>
                <w:rFonts w:ascii="Times New Roman" w:hAnsi="Times New Roman" w:cs="Times New Roman"/>
                <w:color w:val="#000000"/>
                <w:sz w:val="24"/>
                <w:szCs w:val="24"/>
              </w:rPr>
              <w:t> партнёрства. Принципы социального партнёрства. Стороны социального партнёрства. Задачи и проблемы социализации личности на</w:t>
            </w:r>
          </w:p>
          <w:p>
            <w:pPr>
              <w:jc w:val="both"/>
              <w:spacing w:after="0" w:line="240" w:lineRule="auto"/>
              <w:rPr>
                <w:sz w:val="24"/>
                <w:szCs w:val="24"/>
              </w:rPr>
            </w:pPr>
            <w:r>
              <w:rPr>
                <w:rFonts w:ascii="Times New Roman" w:hAnsi="Times New Roman" w:cs="Times New Roman"/>
                <w:color w:val="#000000"/>
                <w:sz w:val="24"/>
                <w:szCs w:val="24"/>
              </w:rPr>
              <w:t> разных возрастных этапах жизни. Внешняя</w:t>
            </w:r>
          </w:p>
          <w:p>
            <w:pPr>
              <w:jc w:val="both"/>
              <w:spacing w:after="0" w:line="240" w:lineRule="auto"/>
              <w:rPr>
                <w:sz w:val="24"/>
                <w:szCs w:val="24"/>
              </w:rPr>
            </w:pPr>
            <w:r>
              <w:rPr>
                <w:rFonts w:ascii="Times New Roman" w:hAnsi="Times New Roman" w:cs="Times New Roman"/>
                <w:color w:val="#000000"/>
                <w:sz w:val="24"/>
                <w:szCs w:val="24"/>
              </w:rPr>
              <w:t> коммуникационная сеть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ее участники и их функции.</w:t>
            </w:r>
          </w:p>
          <w:p>
            <w:pPr>
              <w:jc w:val="both"/>
              <w:spacing w:after="0" w:line="240" w:lineRule="auto"/>
              <w:rPr>
                <w:sz w:val="24"/>
                <w:szCs w:val="24"/>
              </w:rPr>
            </w:pPr>
            <w:r>
              <w:rPr>
                <w:rFonts w:ascii="Times New Roman" w:hAnsi="Times New Roman" w:cs="Times New Roman"/>
                <w:color w:val="#000000"/>
                <w:sz w:val="24"/>
                <w:szCs w:val="24"/>
              </w:rPr>
              <w:t> Взаимодействие в образовательной деятельности.</w:t>
            </w:r>
          </w:p>
          <w:p>
            <w:pPr>
              <w:jc w:val="both"/>
              <w:spacing w:after="0" w:line="240" w:lineRule="auto"/>
              <w:rPr>
                <w:sz w:val="24"/>
                <w:szCs w:val="24"/>
              </w:rPr>
            </w:pPr>
            <w:r>
              <w:rPr>
                <w:rFonts w:ascii="Times New Roman" w:hAnsi="Times New Roman" w:cs="Times New Roman"/>
                <w:color w:val="#000000"/>
                <w:sz w:val="24"/>
                <w:szCs w:val="24"/>
              </w:rPr>
              <w:t> Его виды.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уровни социального партнёрства.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социального партнёрства. Уровни социального партнёрства:</w:t>
            </w:r>
          </w:p>
          <w:p>
            <w:pPr>
              <w:jc w:val="both"/>
              <w:spacing w:after="0" w:line="240" w:lineRule="auto"/>
              <w:rPr>
                <w:sz w:val="24"/>
                <w:szCs w:val="24"/>
              </w:rPr>
            </w:pPr>
            <w:r>
              <w:rPr>
                <w:rFonts w:ascii="Times New Roman" w:hAnsi="Times New Roman" w:cs="Times New Roman"/>
                <w:color w:val="#000000"/>
                <w:sz w:val="24"/>
                <w:szCs w:val="24"/>
              </w:rPr>
              <w:t> федеральный, межрегиональный, региональный, отраслевой, территориальный,</w:t>
            </w:r>
          </w:p>
          <w:p>
            <w:pPr>
              <w:jc w:val="both"/>
              <w:spacing w:after="0" w:line="240" w:lineRule="auto"/>
              <w:rPr>
                <w:sz w:val="24"/>
                <w:szCs w:val="24"/>
              </w:rPr>
            </w:pPr>
            <w:r>
              <w:rPr>
                <w:rFonts w:ascii="Times New Roman" w:hAnsi="Times New Roman" w:cs="Times New Roman"/>
                <w:color w:val="#000000"/>
                <w:sz w:val="24"/>
                <w:szCs w:val="24"/>
              </w:rPr>
              <w:t> локальный.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партнерство ДОУ и семьи в рамках ФГОС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Педагогическая культура родителей . Условия полноценного развитие</w:t>
            </w:r>
          </w:p>
          <w:p>
            <w:pPr>
              <w:jc w:val="both"/>
              <w:spacing w:after="0" w:line="240" w:lineRule="auto"/>
              <w:rPr>
                <w:sz w:val="24"/>
                <w:szCs w:val="24"/>
              </w:rPr>
            </w:pPr>
            <w:r>
              <w:rPr>
                <w:rFonts w:ascii="Times New Roman" w:hAnsi="Times New Roman" w:cs="Times New Roman"/>
                <w:color w:val="#000000"/>
                <w:sz w:val="24"/>
                <w:szCs w:val="24"/>
              </w:rPr>
              <w:t> ребёнка . Понятия " сотрудничество ", " взаимодействие ", " партнерство " . Отношения " семья - дошкольное</w:t>
            </w:r>
          </w:p>
          <w:p>
            <w:pPr>
              <w:jc w:val="both"/>
              <w:spacing w:after="0" w:line="240" w:lineRule="auto"/>
              <w:rPr>
                <w:sz w:val="24"/>
                <w:szCs w:val="24"/>
              </w:rPr>
            </w:pPr>
            <w:r>
              <w:rPr>
                <w:rFonts w:ascii="Times New Roman" w:hAnsi="Times New Roman" w:cs="Times New Roman"/>
                <w:color w:val="#000000"/>
                <w:sz w:val="24"/>
                <w:szCs w:val="24"/>
              </w:rPr>
              <w:t> учреждение ". Роль семьи в воспитании и развитии ребёнка . Проблема вовлечения родителей в единое</w:t>
            </w:r>
          </w:p>
          <w:p>
            <w:pPr>
              <w:jc w:val="both"/>
              <w:spacing w:after="0" w:line="240" w:lineRule="auto"/>
              <w:rPr>
                <w:sz w:val="24"/>
                <w:szCs w:val="24"/>
              </w:rPr>
            </w:pPr>
            <w:r>
              <w:rPr>
                <w:rFonts w:ascii="Times New Roman" w:hAnsi="Times New Roman" w:cs="Times New Roman"/>
                <w:color w:val="#000000"/>
                <w:sz w:val="24"/>
                <w:szCs w:val="24"/>
              </w:rPr>
              <w:t> пространство детского развития в ДОУ.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w:t>
            </w:r>
          </w:p>
          <w:p>
            <w:pPr>
              <w:jc w:val="center"/>
              <w:spacing w:after="0" w:line="240" w:lineRule="auto"/>
              <w:rPr>
                <w:sz w:val="24"/>
                <w:szCs w:val="24"/>
              </w:rPr>
            </w:pPr>
            <w:r>
              <w:rPr>
                <w:rFonts w:ascii="Times New Roman" w:hAnsi="Times New Roman" w:cs="Times New Roman"/>
                <w:b/>
                <w:color w:val="#000000"/>
                <w:sz w:val="24"/>
                <w:szCs w:val="24"/>
              </w:rPr>
              <w:t> взаимодействия</w:t>
            </w:r>
          </w:p>
          <w:p>
            <w:pPr>
              <w:jc w:val="center"/>
              <w:spacing w:after="0" w:line="240" w:lineRule="auto"/>
              <w:rPr>
                <w:sz w:val="24"/>
                <w:szCs w:val="24"/>
              </w:rPr>
            </w:pPr>
            <w:r>
              <w:rPr>
                <w:rFonts w:ascii="Times New Roman" w:hAnsi="Times New Roman" w:cs="Times New Roman"/>
                <w:b/>
                <w:color w:val="#000000"/>
                <w:sz w:val="24"/>
                <w:szCs w:val="24"/>
              </w:rPr>
              <w:t> дошкольной</w:t>
            </w:r>
          </w:p>
          <w:p>
            <w:pPr>
              <w:jc w:val="center"/>
              <w:spacing w:after="0" w:line="240" w:lineRule="auto"/>
              <w:rPr>
                <w:sz w:val="24"/>
                <w:szCs w:val="24"/>
              </w:rPr>
            </w:pPr>
            <w:r>
              <w:rPr>
                <w:rFonts w:ascii="Times New Roman" w:hAnsi="Times New Roman" w:cs="Times New Roman"/>
                <w:b/>
                <w:color w:val="#000000"/>
                <w:sz w:val="24"/>
                <w:szCs w:val="24"/>
              </w:rPr>
              <w:t>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организации с</w:t>
            </w:r>
          </w:p>
          <w:p>
            <w:pPr>
              <w:jc w:val="center"/>
              <w:spacing w:after="0" w:line="240" w:lineRule="auto"/>
              <w:rPr>
                <w:sz w:val="24"/>
                <w:szCs w:val="24"/>
              </w:rPr>
            </w:pPr>
            <w:r>
              <w:rPr>
                <w:rFonts w:ascii="Times New Roman" w:hAnsi="Times New Roman" w:cs="Times New Roman"/>
                <w:b/>
                <w:color w:val="#000000"/>
                <w:sz w:val="24"/>
                <w:szCs w:val="24"/>
              </w:rPr>
              <w:t> культурным</w:t>
            </w:r>
          </w:p>
          <w:p>
            <w:pPr>
              <w:jc w:val="center"/>
              <w:spacing w:after="0" w:line="240" w:lineRule="auto"/>
              <w:rPr>
                <w:sz w:val="24"/>
                <w:szCs w:val="24"/>
              </w:rPr>
            </w:pPr>
            <w:r>
              <w:rPr>
                <w:rFonts w:ascii="Times New Roman" w:hAnsi="Times New Roman" w:cs="Times New Roman"/>
                <w:b/>
                <w:color w:val="#000000"/>
                <w:sz w:val="24"/>
                <w:szCs w:val="24"/>
              </w:rPr>
              <w:t> пространством</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w:t>
            </w:r>
          </w:p>
          <w:p>
            <w:pPr>
              <w:jc w:val="center"/>
              <w:spacing w:after="0" w:line="240" w:lineRule="auto"/>
              <w:rPr>
                <w:sz w:val="24"/>
                <w:szCs w:val="24"/>
              </w:rPr>
            </w:pPr>
            <w:r>
              <w:rPr>
                <w:rFonts w:ascii="Times New Roman" w:hAnsi="Times New Roman" w:cs="Times New Roman"/>
                <w:b/>
                <w:color w:val="#000000"/>
                <w:sz w:val="24"/>
                <w:szCs w:val="24"/>
              </w:rPr>
              <w:t> взаимодействия</w:t>
            </w:r>
          </w:p>
          <w:p>
            <w:pPr>
              <w:jc w:val="center"/>
              <w:spacing w:after="0" w:line="240" w:lineRule="auto"/>
              <w:rPr>
                <w:sz w:val="24"/>
                <w:szCs w:val="24"/>
              </w:rPr>
            </w:pPr>
            <w:r>
              <w:rPr>
                <w:rFonts w:ascii="Times New Roman" w:hAnsi="Times New Roman" w:cs="Times New Roman"/>
                <w:b/>
                <w:color w:val="#000000"/>
                <w:sz w:val="24"/>
                <w:szCs w:val="24"/>
              </w:rPr>
              <w:t> дошкольной</w:t>
            </w:r>
          </w:p>
          <w:p>
            <w:pPr>
              <w:jc w:val="center"/>
              <w:spacing w:after="0" w:line="240" w:lineRule="auto"/>
              <w:rPr>
                <w:sz w:val="24"/>
                <w:szCs w:val="24"/>
              </w:rPr>
            </w:pPr>
            <w:r>
              <w:rPr>
                <w:rFonts w:ascii="Times New Roman" w:hAnsi="Times New Roman" w:cs="Times New Roman"/>
                <w:b/>
                <w:color w:val="#000000"/>
                <w:sz w:val="24"/>
                <w:szCs w:val="24"/>
              </w:rPr>
              <w:t>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организации со</w:t>
            </w:r>
          </w:p>
          <w:p>
            <w:pPr>
              <w:jc w:val="center"/>
              <w:spacing w:after="0" w:line="240" w:lineRule="auto"/>
              <w:rPr>
                <w:sz w:val="24"/>
                <w:szCs w:val="24"/>
              </w:rPr>
            </w:pPr>
            <w:r>
              <w:rPr>
                <w:rFonts w:ascii="Times New Roman" w:hAnsi="Times New Roman" w:cs="Times New Roman"/>
                <w:b/>
                <w:color w:val="#000000"/>
                <w:sz w:val="24"/>
                <w:szCs w:val="24"/>
              </w:rPr>
              <w:t> школой</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проектирования</w:t>
            </w:r>
          </w:p>
          <w:p>
            <w:pPr>
              <w:jc w:val="center"/>
              <w:spacing w:after="0" w:line="240" w:lineRule="auto"/>
              <w:rPr>
                <w:sz w:val="24"/>
                <w:szCs w:val="24"/>
              </w:rPr>
            </w:pPr>
            <w:r>
              <w:rPr>
                <w:rFonts w:ascii="Times New Roman" w:hAnsi="Times New Roman" w:cs="Times New Roman"/>
                <w:b/>
                <w:color w:val="#000000"/>
                <w:sz w:val="24"/>
                <w:szCs w:val="24"/>
              </w:rPr>
              <w:t> взаимодействия</w:t>
            </w:r>
          </w:p>
          <w:p>
            <w:pPr>
              <w:jc w:val="center"/>
              <w:spacing w:after="0" w:line="240" w:lineRule="auto"/>
              <w:rPr>
                <w:sz w:val="24"/>
                <w:szCs w:val="24"/>
              </w:rPr>
            </w:pPr>
            <w:r>
              <w:rPr>
                <w:rFonts w:ascii="Times New Roman" w:hAnsi="Times New Roman" w:cs="Times New Roman"/>
                <w:b/>
                <w:color w:val="#000000"/>
                <w:sz w:val="24"/>
                <w:szCs w:val="24"/>
              </w:rPr>
              <w:t> дошкольной</w:t>
            </w:r>
          </w:p>
          <w:p>
            <w:pPr>
              <w:jc w:val="center"/>
              <w:spacing w:after="0" w:line="240" w:lineRule="auto"/>
              <w:rPr>
                <w:sz w:val="24"/>
                <w:szCs w:val="24"/>
              </w:rPr>
            </w:pPr>
            <w:r>
              <w:rPr>
                <w:rFonts w:ascii="Times New Roman" w:hAnsi="Times New Roman" w:cs="Times New Roman"/>
                <w:b/>
                <w:color w:val="#000000"/>
                <w:sz w:val="24"/>
                <w:szCs w:val="24"/>
              </w:rPr>
              <w:t>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организации с</w:t>
            </w:r>
          </w:p>
          <w:p>
            <w:pPr>
              <w:jc w:val="center"/>
              <w:spacing w:after="0" w:line="240" w:lineRule="auto"/>
              <w:rPr>
                <w:sz w:val="24"/>
                <w:szCs w:val="24"/>
              </w:rPr>
            </w:pPr>
            <w:r>
              <w:rPr>
                <w:rFonts w:ascii="Times New Roman" w:hAnsi="Times New Roman" w:cs="Times New Roman"/>
                <w:b/>
                <w:color w:val="#000000"/>
                <w:sz w:val="24"/>
                <w:szCs w:val="24"/>
              </w:rPr>
              <w:t> семьей</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«Социальное партнерство  в системе управления ДОО»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http://lib.omga.su/files/s/savchenko_upr_obr.pdf</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978-5-4487-0182-5.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http://www.iprbookshop.ru/73626.html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Тимшин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Нагорнова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Аухадеева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Бабушкина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Биктагирова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Киров:</w:t>
            </w:r>
            <w:r>
              <w:rPr/>
              <w:t xml:space="preserve"> </w:t>
            </w:r>
            <w:r>
              <w:rPr>
                <w:rFonts w:ascii="Times New Roman" w:hAnsi="Times New Roman" w:cs="Times New Roman"/>
                <w:color w:val="#000000"/>
                <w:sz w:val="24"/>
                <w:szCs w:val="24"/>
              </w:rPr>
              <w:t>Вятский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978-5-93825-831-0.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http://www.iprbookshop.ru/5899.html</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дошкольным</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Житнякова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Палий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Погребинская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Толстикова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Щанкина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66.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4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87.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82.7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2023-2024_ФГОС3++2023_Маг-ЗФО-ППО(УДО)(23)_plx_Социальное  партнерство  в системе управления ДОО</dc:title>
  <dc:creator>FastReport.NET</dc:creator>
</cp:coreProperties>
</file>